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54" w:rsidRDefault="009C5154" w:rsidP="00374097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6C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УВЕДОМЛЕНИЕ</w:t>
      </w:r>
      <w:r w:rsidR="00374097" w:rsidRPr="00F16C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374097" w:rsidRPr="00B425FF" w:rsidRDefault="00374097" w:rsidP="00A314E4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6C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 подготовке проекта </w:t>
      </w:r>
      <w:r w:rsidR="009F3D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постановления Администрации городского округа Домодедово</w:t>
      </w:r>
      <w:r w:rsidR="009C51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Московской области</w:t>
      </w:r>
      <w:r w:rsidR="009F3D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«Об утверждении А</w:t>
      </w:r>
      <w:r w:rsidR="00B425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дминистративного регламента предоставления муниципальной услуги «</w:t>
      </w:r>
      <w:r w:rsidR="00A314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Согласование установки средства размещения информации на территории городского округа Домодедово Московской области</w:t>
      </w:r>
      <w:r w:rsidR="00B425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374097" w:rsidRPr="000B02EE" w:rsidRDefault="00A314E4" w:rsidP="00A471C6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тдел п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отребительского рынка и рекламы</w:t>
      </w:r>
      <w:r w:rsidR="0003549E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4097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городского округа Домодедово Московской области извещает о начале обсуждения проекта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постановления Администрации городского округа Домодедово Московской области «Об утверждении Административного </w:t>
      </w:r>
      <w:r w:rsidR="00374097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2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регламента</w:t>
      </w:r>
      <w:r w:rsidR="00A471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предоставления муниципальной услуги «Согласование установки средства размещения информации на территории городского округа Домодедово Московской области»</w:t>
      </w:r>
      <w:r w:rsidR="00374097" w:rsidRPr="000B0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:rsidR="00374097" w:rsidRPr="000B02EE" w:rsidRDefault="00374097" w:rsidP="00A471C6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Предложения принимаются по адресу: 142000, г. Домодедово, микрорайон Центральный, пл. 30-летия Победы, д.1, а также по адресу электронной почты: </w:t>
      </w:r>
      <w:hyperlink r:id="rId5" w:history="1"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vorovieva</w:t>
        </w:r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domod</w:t>
        </w:r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3549E" w:rsidRPr="000B02E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B02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4097" w:rsidRPr="000B02EE" w:rsidRDefault="00374097" w:rsidP="00F84570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Контактное лицо по вопросам, обсуждаемым в ходе проведения публичных консультаций: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Воробьева Татьяна Юрьевна, 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отдел потребительского рынка и рекламы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городского округа Домодедово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8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(496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79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41</w:t>
      </w:r>
      <w:r w:rsidR="00A5666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549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58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 14.00 до 16-30 по рабочим дням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    </w:t>
      </w:r>
    </w:p>
    <w:p w:rsidR="00374097" w:rsidRPr="000B02EE" w:rsidRDefault="00980989" w:rsidP="00CA5CB4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Сроки приема предложений: с 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="00CA5C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декабря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20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21</w:t>
      </w:r>
      <w:proofErr w:type="gramEnd"/>
      <w:r w:rsidR="00616289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 по </w:t>
      </w:r>
      <w:r w:rsidR="002D1B3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CA5C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декабря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21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0B02EE" w:rsidRDefault="00374097" w:rsidP="00F84570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</w:t>
      </w:r>
      <w:r w:rsidR="00DA308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Интернет</w:t>
      </w:r>
      <w:r w:rsidR="00DA308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(полный электронный адрес): </w:t>
      </w:r>
      <w:hyperlink r:id="rId6" w:history="1">
        <w:r w:rsidRPr="000B02EE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  <w:lang w:eastAsia="ru-RU"/>
          </w:rPr>
          <w:t>www.domod.ru</w:t>
        </w:r>
      </w:hyperlink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(подраздел «Оценка регулирующего воздействия» раздела «Экономика»).</w:t>
      </w:r>
    </w:p>
    <w:p w:rsidR="00374097" w:rsidRPr="000B02EE" w:rsidRDefault="00374097" w:rsidP="00F84570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 поступившие предложения будут рассмотрены.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0B02EE" w:rsidRDefault="00374097" w:rsidP="00CA5CB4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Сводка предложений, поступивших по результатам публичных консультаций, будет размещена на сайте </w:t>
      </w:r>
      <w:hyperlink r:id="rId7" w:history="1">
        <w:r w:rsidRPr="000B02EE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bdr w:val="none" w:sz="0" w:space="0" w:color="auto" w:frame="1"/>
            <w:lang w:eastAsia="ru-RU"/>
          </w:rPr>
          <w:t>www.domod.ru</w:t>
        </w:r>
      </w:hyperlink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(подраздел «Оценка регулирующего воздействия» ра</w:t>
      </w:r>
      <w:r w:rsidR="00616289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здела «Экономика») не позднее </w:t>
      </w:r>
      <w:r w:rsidR="00CA5CB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28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C45D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12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</w:t>
      </w:r>
      <w:r w:rsidR="00F845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21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</w:t>
      </w:r>
      <w:r w:rsidR="00564BB2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</w:p>
    <w:p w:rsidR="00374097" w:rsidRPr="000B02EE" w:rsidRDefault="00374097" w:rsidP="00F84570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Вид и рабочее наименование нормативного муниципального правового акта, который будет принят, в случ</w:t>
      </w:r>
      <w:bookmarkStart w:id="0" w:name="_GoBack"/>
      <w:bookmarkEnd w:id="0"/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ае принятия решения о необходимости введения предлагаемого правового регулирования:</w:t>
      </w:r>
      <w:r w:rsidR="00A538ED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2D1B33" w:rsidRDefault="00374097" w:rsidP="00F84570">
      <w:pPr>
        <w:pStyle w:val="a5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B02EE">
        <w:rPr>
          <w:bCs/>
          <w:color w:val="242424"/>
          <w:sz w:val="28"/>
          <w:szCs w:val="28"/>
        </w:rPr>
        <w:t xml:space="preserve">Постановление Администрации городского округа Домодедово Московской области </w:t>
      </w:r>
      <w:r w:rsidRPr="002D1B33">
        <w:rPr>
          <w:rFonts w:ascii="Times New Roman" w:hAnsi="Times New Roman"/>
          <w:bCs/>
          <w:color w:val="242424"/>
          <w:sz w:val="28"/>
          <w:szCs w:val="28"/>
        </w:rPr>
        <w:t>«</w:t>
      </w:r>
      <w:r w:rsidR="00F84570">
        <w:rPr>
          <w:rFonts w:ascii="Times New Roman" w:hAnsi="Times New Roman"/>
          <w:sz w:val="28"/>
          <w:szCs w:val="28"/>
        </w:rPr>
        <w:t>Об утверждении</w:t>
      </w:r>
      <w:r w:rsidR="002D1B33" w:rsidRPr="002D1B33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2D1B33">
        <w:rPr>
          <w:rFonts w:ascii="Times New Roman" w:hAnsi="Times New Roman"/>
          <w:sz w:val="28"/>
          <w:szCs w:val="28"/>
        </w:rPr>
        <w:t xml:space="preserve">по </w:t>
      </w:r>
      <w:r w:rsidR="002D1B33" w:rsidRPr="002D1B33">
        <w:rPr>
          <w:rFonts w:ascii="Times New Roman" w:hAnsi="Times New Roman"/>
          <w:sz w:val="28"/>
          <w:szCs w:val="28"/>
        </w:rPr>
        <w:t>предоставлению муниципальной услуги «</w:t>
      </w:r>
      <w:r w:rsidR="00F84570">
        <w:rPr>
          <w:rFonts w:ascii="Times New Roman" w:hAnsi="Times New Roman"/>
          <w:sz w:val="28"/>
          <w:szCs w:val="28"/>
        </w:rPr>
        <w:t>Согласование установки средства размещения информации на территории городского округа Домодедово Московской области</w:t>
      </w:r>
      <w:r w:rsidR="002D1B33" w:rsidRPr="002D1B33">
        <w:rPr>
          <w:rFonts w:ascii="Times New Roman" w:hAnsi="Times New Roman"/>
          <w:sz w:val="28"/>
          <w:szCs w:val="28"/>
        </w:rPr>
        <w:t>»</w:t>
      </w:r>
      <w:r w:rsidR="00941138" w:rsidRPr="002D1B33">
        <w:rPr>
          <w:rFonts w:ascii="Times New Roman" w:hAnsi="Times New Roman"/>
          <w:sz w:val="28"/>
          <w:szCs w:val="28"/>
        </w:rPr>
        <w:t>.</w:t>
      </w:r>
      <w:r w:rsidRPr="000B02EE">
        <w:rPr>
          <w:color w:val="242424"/>
          <w:sz w:val="28"/>
          <w:szCs w:val="28"/>
        </w:rPr>
        <w:t xml:space="preserve"> </w:t>
      </w:r>
    </w:p>
    <w:p w:rsidR="002D1B33" w:rsidRPr="002D1B33" w:rsidRDefault="002D1B33" w:rsidP="002D1B33">
      <w:pPr>
        <w:pStyle w:val="a5"/>
        <w:tabs>
          <w:tab w:val="clear" w:pos="4153"/>
          <w:tab w:val="clear" w:pos="8306"/>
        </w:tabs>
        <w:rPr>
          <w:rFonts w:asciiTheme="minorHAnsi" w:hAnsiTheme="minorHAnsi"/>
          <w:sz w:val="26"/>
          <w:szCs w:val="26"/>
        </w:rPr>
      </w:pPr>
    </w:p>
    <w:p w:rsidR="00374097" w:rsidRPr="000B02EE" w:rsidRDefault="00374097" w:rsidP="00F84570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6112D1" w:rsidRPr="006112D1" w:rsidRDefault="006112D1" w:rsidP="006112D1">
      <w:pPr>
        <w:pStyle w:val="a7"/>
        <w:spacing w:after="0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12D1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</w:t>
      </w:r>
      <w:r w:rsidRPr="006112D1">
        <w:rPr>
          <w:rFonts w:ascii="Times New Roman" w:hAnsi="Times New Roman"/>
          <w:sz w:val="28"/>
          <w:szCs w:val="28"/>
        </w:rPr>
        <w:br/>
        <w:t>в электронной форме, а также особенности выполн</w:t>
      </w:r>
      <w:r>
        <w:rPr>
          <w:rFonts w:ascii="Times New Roman" w:hAnsi="Times New Roman"/>
          <w:sz w:val="28"/>
          <w:szCs w:val="28"/>
        </w:rPr>
        <w:t xml:space="preserve">ения административных процедур </w:t>
      </w:r>
      <w:r w:rsidRPr="006112D1">
        <w:rPr>
          <w:rFonts w:ascii="Times New Roman" w:hAnsi="Times New Roman"/>
          <w:sz w:val="28"/>
          <w:szCs w:val="28"/>
        </w:rPr>
        <w:t>в многофункциональных центрах предоставления муниципальных услуг в Московской области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работников Администрации, работников МФЦ.</w:t>
      </w:r>
    </w:p>
    <w:p w:rsidR="00374097" w:rsidRPr="000B02EE" w:rsidRDefault="006112D1" w:rsidP="006112D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  <w:t xml:space="preserve">    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Цел</w:t>
      </w:r>
      <w:r w:rsidR="00C45D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374097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предлагаемого проектом муниципальным нормативного правового акта правового регулирования:</w:t>
      </w:r>
      <w:r w:rsidR="00941138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Default="00374097" w:rsidP="002D3F2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C45D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установление стандарта</w:t>
      </w:r>
      <w:r w:rsidR="00E63AEE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C45D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предоставления Муниципальной услуги;</w:t>
      </w:r>
    </w:p>
    <w:p w:rsidR="00C45D7F" w:rsidRPr="000B02EE" w:rsidRDefault="00C45D7F" w:rsidP="002D3F2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сокращение сроков предоставления услуги.</w:t>
      </w:r>
    </w:p>
    <w:p w:rsidR="00374097" w:rsidRPr="000B02EE" w:rsidRDefault="00374097" w:rsidP="006112D1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/>
          <w:bCs/>
          <w:sz w:val="28"/>
          <w:szCs w:val="28"/>
        </w:rPr>
        <w:t>Конституция Российской Федерации («</w:t>
      </w:r>
      <w:r w:rsidRPr="006112D1">
        <w:rPr>
          <w:rFonts w:ascii="Times New Roman" w:hAnsi="Times New Roman"/>
          <w:sz w:val="28"/>
          <w:szCs w:val="28"/>
          <w:shd w:val="clear" w:color="auto" w:fill="FFFFFF"/>
        </w:rPr>
        <w:t xml:space="preserve">Российская газета», 25.12.1993, № 237, </w:t>
      </w: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(«Российская газета», № 256, 31.12.2001, «Парламентская газета», № 2-5, 05.01.2002, «Собрание законодательства Российской Федерации», 07.01.2002, № 1 (ч. 1), ст. 1).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(«</w:t>
      </w: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газета», № 290, 30.12.2004, «Собрание законодательства </w:t>
      </w:r>
      <w:r w:rsidRPr="006112D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>», 03.01.2005, № 1 (часть 1), ст. 16, «Парламентская газета», № 5-6, 14.01.2005).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Земельный кодекс Российской Федерации («Собрание законодательства Российской Федерации», 29.10.2001, № 44, ст. 4147, «Парламентская газета», № 204-205, 30.10.2001, «Российская газета», № 211-212, 30.10.2001).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lastRenderedPageBreak/>
        <w:t>Жилищный кодекс Российской Федерации («Собрание законодательства Российской Федерации», 03.01.2005, № 1 (часть 1), ст. 14, «Российская газета», № 1, 12.01.2005, «Парламентская газета», № 7-8, 15.01.2005).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(«Собрание законодательства Российской Федерации», 05.12.1994, № 32, ст. 3301, «Российская газета</w:t>
      </w:r>
      <w:proofErr w:type="gramStart"/>
      <w:r w:rsidRPr="006112D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2D1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112D1">
        <w:rPr>
          <w:rFonts w:ascii="Times New Roman" w:hAnsi="Times New Roman" w:cs="Times New Roman"/>
          <w:sz w:val="28"/>
          <w:szCs w:val="28"/>
        </w:rPr>
        <w:t xml:space="preserve"> 238-239, 08.12.1994).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вторая) («Собрание законодательства Российской Федерации», 29.01.1996, № 5, ст. 410, «Российская газета», № 23, 06.02.1996, № 24, 07.02.1996, № 25, 08.02.1996, № 27, 10.02.1996).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третья) («Парламентская газета, № 224, 28.11.2001, «Российская газета», № 233, 28.11.2001, «Собрание законодательства Российской Федерации», 03.12.2001, № 49, ст. 4552).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четвертая) («Парламентская газета», № 214-215, 21.12.2006, «Российская газета», № 289, 22.12.2006, «Собрание законодательства Российской Федерации», 25.12.2006, № 52 (1 ч.), ст. 5496).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08.10.2003.).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Федеральный закон от 13.07.2015 № 218-ФЗ «О государственной регистрации недвижимости» («Российская газета», № 156, 17.07.2015, «Собрание законодательства Российской Федерации», 20.07.2015, № 29 (часть I), ст. 4344.).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Федеральный закон от 27.07.2010 № 210-ФЗ «Об организации предоставления государственных и муниципальных услуг»</w:t>
      </w:r>
      <w:r w:rsidRPr="0061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2D1">
        <w:rPr>
          <w:rFonts w:ascii="Times New Roman" w:hAnsi="Times New Roman" w:cs="Times New Roman"/>
          <w:sz w:val="28"/>
          <w:szCs w:val="28"/>
        </w:rPr>
        <w:t>(«Российская газета», № 168, 30.07.2010, «Собрание законодательства Российской Федерации», 02.08.2010, № 31, ст. 4179).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Федеральный закон от 27.07.2006 № 152-ФЗ «О персональных данных»</w:t>
      </w:r>
      <w:r w:rsidRPr="0061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r w:rsidRPr="006112D1">
        <w:rPr>
          <w:rFonts w:ascii="Times New Roman" w:hAnsi="Times New Roman" w:cs="Times New Roman"/>
          <w:sz w:val="28"/>
          <w:szCs w:val="28"/>
        </w:rPr>
        <w:t>Российская газета», № 165, 29.07.2006, «Собрание законодательства Российской Федерации», 31.07.2006, № 31 (1 ч.), ст. 3451</w:t>
      </w:r>
      <w:r w:rsidRPr="006112D1">
        <w:rPr>
          <w:rFonts w:ascii="Times New Roman" w:hAnsi="Times New Roman"/>
          <w:sz w:val="28"/>
          <w:szCs w:val="28"/>
        </w:rPr>
        <w:t>, «Парламентская газета» № 126-127, 03.08.2006</w:t>
      </w:r>
      <w:r w:rsidRPr="006112D1">
        <w:rPr>
          <w:rFonts w:ascii="Times New Roman" w:hAnsi="Times New Roman" w:cs="Times New Roman"/>
          <w:sz w:val="28"/>
          <w:szCs w:val="28"/>
        </w:rPr>
        <w:t>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 xml:space="preserve">Федеральный закон от 06.04.2011 № 63-ФЗ «Об электронной подписи» («Парламентская газета», № 17, 08-14.04.2011, «Российская газета», </w:t>
      </w:r>
      <w:r w:rsidRPr="006112D1">
        <w:rPr>
          <w:rFonts w:ascii="Times New Roman" w:hAnsi="Times New Roman" w:cs="Times New Roman"/>
          <w:sz w:val="28"/>
          <w:szCs w:val="28"/>
        </w:rPr>
        <w:lastRenderedPageBreak/>
        <w:t>№ 75, 08.04.2011</w:t>
      </w:r>
      <w:r w:rsidRPr="006112D1">
        <w:rPr>
          <w:rFonts w:ascii="Times New Roman" w:hAnsi="Times New Roman"/>
          <w:sz w:val="28"/>
          <w:szCs w:val="28"/>
        </w:rPr>
        <w:t>, «Собрание законодательства Российской Федерации», 11.04.2011, № 15, ст. 2036</w:t>
      </w:r>
      <w:r w:rsidRPr="006112D1">
        <w:rPr>
          <w:rFonts w:ascii="Times New Roman" w:hAnsi="Times New Roman" w:cs="Times New Roman"/>
          <w:sz w:val="28"/>
          <w:szCs w:val="28"/>
        </w:rPr>
        <w:t>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 303, 31.12.2012, «Собрание законодательства </w:t>
      </w:r>
      <w:r w:rsidRPr="006112D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112D1">
        <w:rPr>
          <w:rFonts w:ascii="Times New Roman" w:eastAsia="Times New Roman" w:hAnsi="Times New Roman" w:cs="Times New Roman"/>
          <w:sz w:val="28"/>
          <w:szCs w:val="28"/>
          <w:lang w:eastAsia="ru-RU"/>
        </w:rPr>
        <w:t>», 31.12.2012, № 53 (ч. 2), ст. 7932).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27.09.2011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№ 40, ст. 5559, «Российская газета», № 222, 05.10.2011).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 5, ст. 377).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</w:t>
      </w:r>
      <w:r w:rsidRPr="006112D1">
        <w:rPr>
          <w:rFonts w:ascii="Times New Roman" w:hAnsi="Times New Roman"/>
          <w:sz w:val="28"/>
          <w:szCs w:val="28"/>
          <w:shd w:val="clear" w:color="auto" w:fill="FFFFFF"/>
        </w:rPr>
        <w:t>официальный интернет-портал правовой информации </w:t>
      </w:r>
      <w:r w:rsidRPr="006112D1">
        <w:rPr>
          <w:rFonts w:ascii="Times New Roman" w:hAnsi="Times New Roman"/>
          <w:sz w:val="28"/>
          <w:szCs w:val="28"/>
        </w:rPr>
        <w:t>http://www.pravo.gov.ru</w:t>
      </w:r>
      <w:r w:rsidRPr="006112D1">
        <w:rPr>
          <w:rFonts w:ascii="Times New Roman" w:hAnsi="Times New Roman"/>
          <w:sz w:val="28"/>
          <w:szCs w:val="28"/>
          <w:shd w:val="clear" w:color="auto" w:fill="FFFFFF"/>
        </w:rPr>
        <w:t>, 25.03.2015,</w:t>
      </w:r>
      <w:r w:rsidRPr="006112D1">
        <w:rPr>
          <w:rFonts w:ascii="Times New Roman" w:hAnsi="Times New Roman"/>
          <w:sz w:val="28"/>
          <w:szCs w:val="28"/>
        </w:rPr>
        <w:t xml:space="preserve"> </w:t>
      </w:r>
      <w:r w:rsidRPr="006112D1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30.03.2015, № 13, ст. 1936).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 (</w:t>
      </w:r>
      <w:r w:rsidRPr="006112D1">
        <w:rPr>
          <w:rFonts w:ascii="Times New Roman" w:hAnsi="Times New Roman"/>
          <w:sz w:val="28"/>
          <w:szCs w:val="28"/>
          <w:shd w:val="clear" w:color="auto" w:fill="FFFFFF"/>
        </w:rPr>
        <w:t>официальный интернет-портал правовой информации </w:t>
      </w:r>
      <w:r w:rsidRPr="006112D1">
        <w:rPr>
          <w:rFonts w:ascii="Times New Roman" w:hAnsi="Times New Roman"/>
          <w:sz w:val="28"/>
          <w:szCs w:val="28"/>
        </w:rPr>
        <w:t>http://www.pravo.gov.ru</w:t>
      </w:r>
      <w:r w:rsidRPr="006112D1">
        <w:rPr>
          <w:rFonts w:ascii="Times New Roman" w:hAnsi="Times New Roman"/>
          <w:sz w:val="28"/>
          <w:szCs w:val="28"/>
          <w:shd w:val="clear" w:color="auto" w:fill="FFFFFF"/>
        </w:rPr>
        <w:t>, 05.04.2016,</w:t>
      </w:r>
      <w:r w:rsidRPr="006112D1">
        <w:rPr>
          <w:rFonts w:ascii="Times New Roman" w:hAnsi="Times New Roman"/>
          <w:sz w:val="28"/>
          <w:szCs w:val="28"/>
        </w:rPr>
        <w:t xml:space="preserve"> </w:t>
      </w:r>
      <w:r w:rsidRPr="006112D1">
        <w:rPr>
          <w:rFonts w:ascii="Times New Roman" w:hAnsi="Times New Roman" w:cs="Times New Roman"/>
          <w:sz w:val="28"/>
          <w:szCs w:val="28"/>
        </w:rPr>
        <w:t xml:space="preserve">«Российская </w:t>
      </w:r>
      <w:r w:rsidRPr="006112D1">
        <w:rPr>
          <w:rFonts w:ascii="Times New Roman" w:hAnsi="Times New Roman" w:cs="Times New Roman"/>
          <w:sz w:val="28"/>
          <w:szCs w:val="28"/>
        </w:rPr>
        <w:lastRenderedPageBreak/>
        <w:t>газета», № 75, 08.04.2016, «Собрание законодательства Российской Федерации», 11.04.2016, № 15, ст. 2084).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16.05.2011 № 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(«Собрание законодательства Российской Федерации», 30.05.2011, № 22, ст. 3169).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/>
          <w:sz w:val="28"/>
          <w:szCs w:val="28"/>
        </w:rPr>
        <w:t xml:space="preserve">Постановление Правительства Российской </w:t>
      </w:r>
      <w:r>
        <w:rPr>
          <w:rFonts w:ascii="Times New Roman" w:hAnsi="Times New Roman"/>
          <w:sz w:val="28"/>
          <w:szCs w:val="28"/>
        </w:rPr>
        <w:t xml:space="preserve">Федерации от 20.11.2012 № 1198 </w:t>
      </w:r>
      <w:r w:rsidRPr="006112D1">
        <w:rPr>
          <w:rFonts w:ascii="Times New Roman" w:hAnsi="Times New Roman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/>
          <w:sz w:val="28"/>
          <w:szCs w:val="28"/>
        </w:rPr>
        <w:t xml:space="preserve">Закон Московской области от 30.12.2014 № 191/2014-ОЗ «О регулировании дополнительных вопросов в сфере благоустройства в Московской области» </w:t>
      </w:r>
      <w:r w:rsidRPr="006112D1">
        <w:rPr>
          <w:rFonts w:ascii="Times New Roman" w:hAnsi="Times New Roman" w:cs="Times New Roman"/>
          <w:sz w:val="28"/>
          <w:szCs w:val="28"/>
        </w:rPr>
        <w:t>(</w:t>
      </w:r>
      <w:r w:rsidRPr="006112D1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интернет-портал Правительства Московской области </w:t>
      </w:r>
      <w:r w:rsidRPr="006112D1">
        <w:rPr>
          <w:rFonts w:ascii="Times New Roman" w:hAnsi="Times New Roman" w:cs="Times New Roman"/>
          <w:sz w:val="28"/>
          <w:szCs w:val="28"/>
        </w:rPr>
        <w:t>http://www.mosreg.ru</w:t>
      </w:r>
      <w:r w:rsidRPr="006112D1">
        <w:rPr>
          <w:rFonts w:ascii="Times New Roman" w:hAnsi="Times New Roman" w:cs="Times New Roman"/>
          <w:sz w:val="28"/>
          <w:szCs w:val="28"/>
          <w:shd w:val="clear" w:color="auto" w:fill="FFFFFF"/>
        </w:rPr>
        <w:t>, 30.12.2014,</w:t>
      </w:r>
      <w:r w:rsidRPr="0061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«Ежедневные Новости. Подмосковье», № 7, 20.01.2015</w:t>
      </w:r>
      <w:r w:rsidRPr="006112D1">
        <w:rPr>
          <w:rFonts w:ascii="Times New Roman" w:hAnsi="Times New Roman" w:cs="Times New Roman"/>
          <w:sz w:val="28"/>
          <w:szCs w:val="28"/>
        </w:rPr>
        <w:t>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12D1">
        <w:rPr>
          <w:rFonts w:ascii="Times New Roman" w:hAnsi="Times New Roman"/>
          <w:sz w:val="28"/>
          <w:szCs w:val="28"/>
        </w:rPr>
        <w:t xml:space="preserve">Закон Московской области от 27.12.2017 № 250/2017-ОЗ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территории» </w:t>
      </w:r>
      <w:r w:rsidRPr="006112D1">
        <w:rPr>
          <w:rFonts w:ascii="Times New Roman" w:hAnsi="Times New Roman" w:cs="Times New Roman"/>
          <w:sz w:val="28"/>
          <w:szCs w:val="28"/>
        </w:rPr>
        <w:t>(</w:t>
      </w:r>
      <w:r w:rsidRPr="006112D1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интернет-портал Правительства Московской области </w:t>
      </w:r>
      <w:r w:rsidRPr="006112D1">
        <w:rPr>
          <w:rFonts w:ascii="Times New Roman" w:hAnsi="Times New Roman"/>
          <w:sz w:val="28"/>
          <w:szCs w:val="28"/>
        </w:rPr>
        <w:t>http://www.mosreg.ru</w:t>
      </w:r>
      <w:r w:rsidRPr="006112D1">
        <w:rPr>
          <w:rFonts w:ascii="Times New Roman" w:hAnsi="Times New Roman" w:cs="Times New Roman"/>
          <w:sz w:val="28"/>
          <w:szCs w:val="28"/>
          <w:shd w:val="clear" w:color="auto" w:fill="FFFFFF"/>
        </w:rPr>
        <w:t>, 29.12.2017,</w:t>
      </w:r>
      <w:r w:rsidRPr="0061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«Ежедневные Новости. </w:t>
      </w:r>
      <w:r w:rsidRPr="00611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Подмосковье», № 8, 18.01.2018.</w:t>
      </w:r>
      <w:r w:rsidRPr="006112D1">
        <w:rPr>
          <w:rFonts w:ascii="Times New Roman" w:hAnsi="Times New Roman" w:cs="Times New Roman"/>
          <w:sz w:val="28"/>
          <w:szCs w:val="28"/>
        </w:rPr>
        <w:t>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>Закон Московской области от 04.05.2016 № 37/2016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-ОЗ «Кодекс Московской области </w:t>
      </w: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</w:t>
      </w: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br/>
        <w:t>№ 91, 24.05.2016).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6112D1">
        <w:rPr>
          <w:rFonts w:ascii="Times New Roman" w:hAnsi="Times New Roman"/>
          <w:sz w:val="28"/>
          <w:szCs w:val="28"/>
          <w:shd w:val="clear" w:color="auto" w:fill="FFFFFF"/>
        </w:rPr>
        <w:t>«Ежедневные Новости. Подмосковье», № 210, 06.11.2009).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Московской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от 25.04.2011 № 365/15 </w:t>
      </w: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</w:t>
      </w: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Московской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от 08.08.2013 № 601/33 </w:t>
      </w: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Московской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от 31.10.2018 № 792/37 </w:t>
      </w: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6112D1">
        <w:rPr>
          <w:rStyle w:val="blk"/>
          <w:rFonts w:ascii="Times New Roman" w:hAnsi="Times New Roman"/>
          <w:sz w:val="28"/>
          <w:szCs w:val="28"/>
        </w:rPr>
        <w:t>официальный интернет-портал Правительства Московской области 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Московской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от 16.04.2015 № 253/14 </w:t>
      </w: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6112D1">
        <w:rPr>
          <w:rStyle w:val="blk"/>
          <w:rFonts w:ascii="Times New Roman" w:hAnsi="Times New Roman"/>
          <w:sz w:val="28"/>
          <w:szCs w:val="28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br/>
        <w:t>и муниципальных услуг в Московской области» (</w:t>
      </w:r>
      <w:r w:rsidRPr="006112D1">
        <w:rPr>
          <w:rFonts w:ascii="Times New Roman" w:hAnsi="Times New Roman"/>
          <w:sz w:val="28"/>
          <w:szCs w:val="28"/>
          <w:shd w:val="clear" w:color="auto" w:fill="FFFFFF"/>
        </w:rPr>
        <w:t>официальный сайт Министерства государственного управления, информационных технологий и связи Московской области </w:t>
      </w:r>
      <w:r w:rsidRPr="006112D1">
        <w:rPr>
          <w:rFonts w:ascii="Times New Roman" w:hAnsi="Times New Roman"/>
          <w:sz w:val="28"/>
          <w:szCs w:val="28"/>
        </w:rPr>
        <w:t>http://mits.mosreg.ru</w:t>
      </w:r>
      <w:r w:rsidRPr="006112D1">
        <w:rPr>
          <w:rFonts w:ascii="Times New Roman" w:hAnsi="Times New Roman"/>
          <w:sz w:val="28"/>
          <w:szCs w:val="28"/>
          <w:shd w:val="clear" w:color="auto" w:fill="FFFFFF"/>
        </w:rPr>
        <w:t>, 02.11.2016).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(о</w:t>
      </w:r>
      <w:r w:rsidRPr="006112D1">
        <w:rPr>
          <w:rFonts w:ascii="Times New Roman" w:hAnsi="Times New Roman"/>
          <w:sz w:val="28"/>
          <w:szCs w:val="28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6112D1">
        <w:rPr>
          <w:rFonts w:ascii="Times New Roman" w:hAnsi="Times New Roman"/>
          <w:sz w:val="28"/>
          <w:szCs w:val="28"/>
        </w:rPr>
        <w:t>http://mits.mosreg.ru</w:t>
      </w:r>
      <w:r w:rsidRPr="006112D1">
        <w:rPr>
          <w:rFonts w:ascii="Times New Roman" w:hAnsi="Times New Roman"/>
          <w:sz w:val="28"/>
          <w:szCs w:val="28"/>
          <w:shd w:val="clear" w:color="auto" w:fill="FFFFFF"/>
        </w:rPr>
        <w:t>, 11.12.2018).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Распоряжение Главного управления архитектуры и градостроительства Московской области от 14.07.2015 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 (официальный сайт Главного управления архитектуры и градостроительства Московской области http://guag.mosreg.ru, 14.07.2015).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</w:rPr>
        <w:t>Устав городского округа Домодедово Московской области // «Призыв», № 152-155, 18.06.2005</w:t>
      </w:r>
      <w:r w:rsidRPr="006112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12D1" w:rsidRPr="006112D1" w:rsidRDefault="006112D1" w:rsidP="006112D1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2D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городского округа Домодедово Московской области от 11.11.2021 № 2585 «Об утверждении Положений о порядке установки, эксплуатации и демонтажа рекламных конструкций на территории городского округа Домодедово Московской области и о порядке установки, эксплуатации и демонтажа средств размещения информации на территории городского округа Домодедово Московской области» // официальный сайт городского округа Домодедово в сети Интернет </w:t>
      </w:r>
      <w:r w:rsidRPr="006112D1">
        <w:rPr>
          <w:rFonts w:ascii="Times New Roman" w:hAnsi="Times New Roman"/>
          <w:sz w:val="28"/>
          <w:szCs w:val="28"/>
        </w:rPr>
        <w:t>http://</w:t>
      </w:r>
      <w:r w:rsidRPr="00611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12D1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6112D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112D1">
        <w:rPr>
          <w:rFonts w:ascii="Times New Roman" w:hAnsi="Times New Roman" w:cs="Times New Roman"/>
          <w:sz w:val="28"/>
          <w:szCs w:val="28"/>
          <w:lang w:val="en-US" w:eastAsia="ru-RU"/>
        </w:rPr>
        <w:t>domod</w:t>
      </w:r>
      <w:proofErr w:type="spellEnd"/>
      <w:r w:rsidRPr="006112D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112D1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112D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C2869" w:rsidRDefault="008C2869" w:rsidP="008C2869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</w:p>
    <w:p w:rsidR="00374097" w:rsidRPr="000B02EE" w:rsidRDefault="00374097" w:rsidP="006112D1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Планируемый срок вступления в силу предлагаемого проекта муниципального</w:t>
      </w:r>
      <w:r w:rsidR="00D97D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нормативного правового </w:t>
      </w:r>
      <w:proofErr w:type="gramStart"/>
      <w:r w:rsidR="00D97D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акта:  декабрь</w:t>
      </w:r>
      <w:proofErr w:type="gramEnd"/>
      <w:r w:rsidR="00D97DF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</w:t>
      </w:r>
      <w:r w:rsidR="006112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21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</w:t>
      </w:r>
      <w:r w:rsidR="00EA0446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374097" w:rsidRPr="000B02EE" w:rsidRDefault="00374097" w:rsidP="006112D1">
      <w:pPr>
        <w:spacing w:after="15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Сведения о необходимости или отсутствии необходимости установления переходного периода: отсутствуют.</w:t>
      </w:r>
      <w:r w:rsidR="00A13240"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374097" w:rsidRPr="000B02EE" w:rsidRDefault="00374097" w:rsidP="00374097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4097" w:rsidRPr="000B02EE" w:rsidRDefault="00374097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Возможные варианты решения проблемы и их сравнение.</w:t>
      </w: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282"/>
        <w:gridCol w:w="3770"/>
        <w:gridCol w:w="1350"/>
        <w:gridCol w:w="122"/>
        <w:gridCol w:w="122"/>
      </w:tblGrid>
      <w:tr w:rsidR="00374097" w:rsidRPr="000B02EE" w:rsidTr="007A7907">
        <w:trPr>
          <w:gridAfter w:val="1"/>
          <w:trHeight w:val="473"/>
        </w:trPr>
        <w:tc>
          <w:tcPr>
            <w:tcW w:w="461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412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Вариант 2</w:t>
            </w:r>
          </w:p>
        </w:tc>
      </w:tr>
      <w:tr w:rsidR="00374097" w:rsidRPr="000B02EE" w:rsidTr="007A7907">
        <w:trPr>
          <w:gridAfter w:val="1"/>
        </w:trPr>
        <w:tc>
          <w:tcPr>
            <w:tcW w:w="461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4125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D97DF1" w:rsidP="0044769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Установления стандарта предоставления муниципальной услуги</w:t>
            </w:r>
            <w:r w:rsidR="002D3F2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-</w:t>
            </w:r>
          </w:p>
        </w:tc>
      </w:tr>
      <w:tr w:rsidR="00374097" w:rsidRPr="000B02EE" w:rsidTr="007A7907">
        <w:tc>
          <w:tcPr>
            <w:tcW w:w="489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412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Потенциальные адресаты предполагаемого правового регулирования: и</w:t>
            </w:r>
            <w:r w:rsidR="0068332D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ндивидуальные предприниматели, 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юридические лица</w:t>
            </w:r>
            <w:r w:rsidR="0068332D"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и физические лица</w:t>
            </w: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зарегистрированные в установленном законодательством Российской Федерации порядке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374097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-</w:t>
            </w:r>
          </w:p>
        </w:tc>
      </w:tr>
      <w:tr w:rsidR="00374097" w:rsidRPr="000B02EE" w:rsidTr="007A7907">
        <w:trPr>
          <w:gridAfter w:val="1"/>
        </w:trPr>
        <w:tc>
          <w:tcPr>
            <w:tcW w:w="461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</w:t>
            </w:r>
          </w:p>
        </w:tc>
        <w:tc>
          <w:tcPr>
            <w:tcW w:w="4125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EA0446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Не проводилась</w:t>
            </w:r>
          </w:p>
        </w:tc>
        <w:tc>
          <w:tcPr>
            <w:tcW w:w="0" w:type="auto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751E8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  <w:tr w:rsidR="00374097" w:rsidRPr="000B02EE" w:rsidTr="007A7907">
        <w:trPr>
          <w:gridAfter w:val="1"/>
        </w:trPr>
        <w:tc>
          <w:tcPr>
            <w:tcW w:w="461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412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Дополнительных расходов не планируется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751E8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  <w:tr w:rsidR="00374097" w:rsidRPr="000B02EE" w:rsidTr="007A7907">
        <w:trPr>
          <w:gridAfter w:val="1"/>
        </w:trPr>
        <w:tc>
          <w:tcPr>
            <w:tcW w:w="461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25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D97DF1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0" w:type="auto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751E8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  <w:tr w:rsidR="00374097" w:rsidRPr="000B02EE" w:rsidTr="007A7907">
        <w:trPr>
          <w:gridAfter w:val="1"/>
        </w:trPr>
        <w:tc>
          <w:tcPr>
            <w:tcW w:w="461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412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Отсутствие нормативного акта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751E8E" w:rsidP="00751E8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</w:tbl>
    <w:p w:rsidR="00374097" w:rsidRPr="000B02EE" w:rsidRDefault="00374097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7.7. Обоснование выбора </w:t>
      </w:r>
      <w:proofErr w:type="gramStart"/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предпочтительного варианта</w:t>
      </w:r>
      <w:proofErr w:type="gramEnd"/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предлагаемого проектом муниципального нормативного правового акта правового регулирования выявленной проблемы: варианты не рассматривались</w:t>
      </w:r>
    </w:p>
    <w:p w:rsidR="00374097" w:rsidRPr="000B02EE" w:rsidRDefault="00374097" w:rsidP="006112D1">
      <w:pPr>
        <w:spacing w:after="150" w:line="238" w:lineRule="atLeast"/>
        <w:ind w:firstLine="708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8. Иная информация по решению органа-разработчика, относящаяся к сведениям о подготовке предл</w:t>
      </w:r>
      <w:r w:rsidR="006112D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агаемого проекта муниципального </w:t>
      </w: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нормативного правового акта: нет</w:t>
      </w:r>
    </w:p>
    <w:p w:rsidR="00374097" w:rsidRPr="000B02EE" w:rsidRDefault="00374097" w:rsidP="00374097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B02E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уведомлению прилагаются: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8765"/>
        <w:gridCol w:w="290"/>
      </w:tblGrid>
      <w:tr w:rsidR="00374097" w:rsidRPr="000B02EE" w:rsidTr="007A7907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Перечень вопросов для участников публичных консультаций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C57CCA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9</w:t>
            </w:r>
          </w:p>
        </w:tc>
      </w:tr>
      <w:tr w:rsidR="00374097" w:rsidRPr="000B02EE" w:rsidTr="007A7907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74097" w:rsidRPr="000B02EE" w:rsidRDefault="00374097" w:rsidP="003740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0B02E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0</w:t>
            </w:r>
          </w:p>
        </w:tc>
      </w:tr>
    </w:tbl>
    <w:p w:rsidR="006A01CE" w:rsidRPr="000B02EE" w:rsidRDefault="006A01CE" w:rsidP="007A7907">
      <w:pPr>
        <w:rPr>
          <w:rFonts w:ascii="Times New Roman" w:hAnsi="Times New Roman" w:cs="Times New Roman"/>
          <w:sz w:val="28"/>
          <w:szCs w:val="28"/>
        </w:rPr>
      </w:pPr>
    </w:p>
    <w:sectPr w:rsidR="006A01CE" w:rsidRPr="000B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775FA"/>
    <w:multiLevelType w:val="multilevel"/>
    <w:tmpl w:val="498A8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97"/>
    <w:rsid w:val="0003549E"/>
    <w:rsid w:val="000B02EE"/>
    <w:rsid w:val="002B7046"/>
    <w:rsid w:val="002D1B33"/>
    <w:rsid w:val="002D3F29"/>
    <w:rsid w:val="002F2207"/>
    <w:rsid w:val="00374097"/>
    <w:rsid w:val="0044769E"/>
    <w:rsid w:val="00523436"/>
    <w:rsid w:val="00564BB2"/>
    <w:rsid w:val="00584ECA"/>
    <w:rsid w:val="006112D1"/>
    <w:rsid w:val="00616289"/>
    <w:rsid w:val="0068332D"/>
    <w:rsid w:val="006A01CE"/>
    <w:rsid w:val="00751E8E"/>
    <w:rsid w:val="007A7907"/>
    <w:rsid w:val="008C2869"/>
    <w:rsid w:val="00941138"/>
    <w:rsid w:val="00980989"/>
    <w:rsid w:val="009826CE"/>
    <w:rsid w:val="009C5154"/>
    <w:rsid w:val="009F3DB8"/>
    <w:rsid w:val="00A078BD"/>
    <w:rsid w:val="00A13240"/>
    <w:rsid w:val="00A314E4"/>
    <w:rsid w:val="00A471C6"/>
    <w:rsid w:val="00A538ED"/>
    <w:rsid w:val="00A56666"/>
    <w:rsid w:val="00B425FF"/>
    <w:rsid w:val="00C11507"/>
    <w:rsid w:val="00C256AB"/>
    <w:rsid w:val="00C45D7F"/>
    <w:rsid w:val="00C57CCA"/>
    <w:rsid w:val="00CA5CB4"/>
    <w:rsid w:val="00D35CEA"/>
    <w:rsid w:val="00D65534"/>
    <w:rsid w:val="00D97DF1"/>
    <w:rsid w:val="00DA3089"/>
    <w:rsid w:val="00E63AEE"/>
    <w:rsid w:val="00EA0446"/>
    <w:rsid w:val="00F16C9D"/>
    <w:rsid w:val="00F17854"/>
    <w:rsid w:val="00F55AF8"/>
    <w:rsid w:val="00F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AB7E4-D56F-45F5-8F0E-3CEC803C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4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40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097"/>
  </w:style>
  <w:style w:type="character" w:styleId="a4">
    <w:name w:val="Hyperlink"/>
    <w:basedOn w:val="a0"/>
    <w:uiPriority w:val="99"/>
    <w:unhideWhenUsed/>
    <w:rsid w:val="00374097"/>
    <w:rPr>
      <w:color w:val="0000FF"/>
      <w:u w:val="single"/>
    </w:rPr>
  </w:style>
  <w:style w:type="character" w:customStyle="1" w:styleId="1">
    <w:name w:val="Основной текст Знак1"/>
    <w:rsid w:val="00E63AEE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rsid w:val="002D1B3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D1B33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1">
    <w:name w:val="Рег. 1.1.1"/>
    <w:basedOn w:val="a"/>
    <w:qFormat/>
    <w:rsid w:val="00C45D7F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C45D7F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8C28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8C2869"/>
    <w:rPr>
      <w:rFonts w:ascii="Arial" w:eastAsia="Calibri" w:hAnsi="Arial" w:cs="Arial"/>
    </w:rPr>
  </w:style>
  <w:style w:type="paragraph" w:styleId="a7">
    <w:name w:val="List Paragraph"/>
    <w:basedOn w:val="a"/>
    <w:uiPriority w:val="34"/>
    <w:qFormat/>
    <w:rsid w:val="006112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">
    <w:name w:val="blk"/>
    <w:rsid w:val="006112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od.ru/" TargetMode="External"/><Relationship Id="rId5" Type="http://schemas.openxmlformats.org/officeDocument/2006/relationships/hyperlink" Target="mailto:vorovieva@domo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Романишина М.Е.</dc:creator>
  <cp:lastModifiedBy>Воробьева Т.Ю.</cp:lastModifiedBy>
  <cp:revision>2</cp:revision>
  <dcterms:created xsi:type="dcterms:W3CDTF">2021-12-17T13:45:00Z</dcterms:created>
  <dcterms:modified xsi:type="dcterms:W3CDTF">2021-12-17T13:45:00Z</dcterms:modified>
</cp:coreProperties>
</file>